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D06F" w14:textId="77777777" w:rsidR="00971431" w:rsidRDefault="5AF2C117">
      <w:pPr>
        <w:ind w:left="708" w:firstLine="708"/>
      </w:pPr>
      <w:r>
        <w:t xml:space="preserve">   ХАНТЫ-МАНСИЙСКИЙ АВТОНОМНЫЙ ОКРУГ – ЮГРА</w:t>
      </w:r>
    </w:p>
    <w:p w14:paraId="6266613E" w14:textId="77777777" w:rsidR="00971431" w:rsidRDefault="5AF2C117">
      <w:pPr>
        <w:jc w:val="center"/>
      </w:pPr>
      <w:r>
        <w:t>ХАНТЫ-МАНСИЙСКИЙ РАЙОН</w:t>
      </w:r>
    </w:p>
    <w:p w14:paraId="0622E59E" w14:textId="77777777" w:rsidR="00971431" w:rsidRDefault="5AF2C117">
      <w:pPr>
        <w:jc w:val="center"/>
      </w:pPr>
      <w:r>
        <w:t>МУНИЦИПАЛЬНОЕ ОБРАЗОВАНИЕ</w:t>
      </w:r>
    </w:p>
    <w:p w14:paraId="62EE4641" w14:textId="77777777" w:rsidR="00971431" w:rsidRDefault="5AF2C117">
      <w:pPr>
        <w:jc w:val="center"/>
      </w:pPr>
      <w:r>
        <w:t>СЕЛЬСКОЕ ПОСЕЛЕНИЕ ЦИНГАЛЫ</w:t>
      </w:r>
    </w:p>
    <w:p w14:paraId="6D31F35A" w14:textId="77777777" w:rsidR="00971431" w:rsidRDefault="00971431">
      <w:pPr>
        <w:jc w:val="center"/>
      </w:pPr>
    </w:p>
    <w:p w14:paraId="100B3C4F" w14:textId="77777777" w:rsidR="00971431" w:rsidRDefault="5AF2C117">
      <w:pPr>
        <w:jc w:val="center"/>
      </w:pPr>
      <w:r>
        <w:t>АДМИНИСТРАЦИЯ СЕЛЬСКОГО ПОСЕЛЕНИЯ</w:t>
      </w:r>
    </w:p>
    <w:p w14:paraId="523EB9D1" w14:textId="77777777" w:rsidR="00971431" w:rsidRDefault="00971431">
      <w:pPr>
        <w:jc w:val="center"/>
      </w:pPr>
    </w:p>
    <w:p w14:paraId="73F97328" w14:textId="77777777" w:rsidR="00971431" w:rsidRDefault="5AF2C117">
      <w:pPr>
        <w:jc w:val="center"/>
      </w:pPr>
      <w:r>
        <w:t>РАСПОРЯЖЕНИЕ</w:t>
      </w:r>
    </w:p>
    <w:p w14:paraId="4DED3B3C" w14:textId="77777777" w:rsidR="00971431" w:rsidRDefault="00971431">
      <w:pPr>
        <w:jc w:val="center"/>
        <w:rPr>
          <w:b/>
        </w:rPr>
      </w:pPr>
    </w:p>
    <w:p w14:paraId="674B6E5A" w14:textId="77777777" w:rsidR="00971431" w:rsidRDefault="00971431">
      <w:pPr>
        <w:rPr>
          <w:sz w:val="28"/>
          <w:szCs w:val="28"/>
        </w:rPr>
      </w:pPr>
    </w:p>
    <w:p w14:paraId="01EC3884" w14:textId="77777777" w:rsidR="00971431" w:rsidRDefault="006D0E64">
      <w:pPr>
        <w:rPr>
          <w:sz w:val="28"/>
          <w:szCs w:val="28"/>
        </w:rPr>
      </w:pPr>
      <w:r>
        <w:rPr>
          <w:sz w:val="28"/>
          <w:szCs w:val="28"/>
        </w:rPr>
        <w:t xml:space="preserve">02.12.2016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223 –</w:t>
      </w:r>
      <w:proofErr w:type="gramStart"/>
      <w:r>
        <w:rPr>
          <w:sz w:val="28"/>
          <w:szCs w:val="28"/>
        </w:rPr>
        <w:t>р</w:t>
      </w:r>
      <w:proofErr w:type="gramEnd"/>
    </w:p>
    <w:p w14:paraId="7709348A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с. Цингалы</w:t>
      </w:r>
    </w:p>
    <w:p w14:paraId="62A830BE" w14:textId="77777777" w:rsidR="00971431" w:rsidRDefault="00971431">
      <w:pPr>
        <w:rPr>
          <w:sz w:val="28"/>
          <w:szCs w:val="28"/>
        </w:rPr>
      </w:pPr>
    </w:p>
    <w:p w14:paraId="194A90BA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 xml:space="preserve">Об обеспечении </w:t>
      </w:r>
      <w:proofErr w:type="gramStart"/>
      <w:r w:rsidRPr="5AF2C117">
        <w:rPr>
          <w:sz w:val="28"/>
          <w:szCs w:val="28"/>
        </w:rPr>
        <w:t>пожарной</w:t>
      </w:r>
      <w:proofErr w:type="gramEnd"/>
    </w:p>
    <w:p w14:paraId="0370CCFF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безопасности в местах проведения</w:t>
      </w:r>
    </w:p>
    <w:p w14:paraId="43ECF374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новогодних и рождественских</w:t>
      </w:r>
    </w:p>
    <w:p w14:paraId="3BA339AD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праздничных мероприятий</w:t>
      </w:r>
    </w:p>
    <w:p w14:paraId="23178705" w14:textId="77777777" w:rsidR="00971431" w:rsidRDefault="00971431">
      <w:pPr>
        <w:rPr>
          <w:sz w:val="28"/>
          <w:szCs w:val="28"/>
        </w:rPr>
      </w:pPr>
    </w:p>
    <w:p w14:paraId="087B6CFD" w14:textId="77777777" w:rsidR="00971431" w:rsidRDefault="00971431">
      <w:pPr>
        <w:rPr>
          <w:sz w:val="28"/>
          <w:szCs w:val="28"/>
        </w:rPr>
      </w:pPr>
    </w:p>
    <w:p w14:paraId="74EA50A0" w14:textId="77777777" w:rsidR="00971431" w:rsidRDefault="5AF2C117">
      <w:pPr>
        <w:ind w:firstLine="708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На основании статьи 19 Федерального закона от 21 декабря 1994 года № 69-ФЗ «О пожарной безопасности», постановления Правительства Российской Федерации от 25 апреля 2012 года № 390 «О противопожарном режиме», в целях обеспечения пожарной безопасности в местах проведения мероприятий с массовым пребыванием людей в период новогодних и рождественских праздников:</w:t>
      </w:r>
    </w:p>
    <w:p w14:paraId="7FBBFDD8" w14:textId="77777777" w:rsidR="00971431" w:rsidRDefault="00971431">
      <w:pPr>
        <w:ind w:firstLine="708"/>
        <w:jc w:val="both"/>
        <w:rPr>
          <w:sz w:val="28"/>
          <w:szCs w:val="28"/>
        </w:rPr>
      </w:pPr>
    </w:p>
    <w:p w14:paraId="07B2BB12" w14:textId="77777777" w:rsidR="00971431" w:rsidRDefault="5AF2C11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Утвердить план проведения на территории сельского поселения Цингалы профилактической операции «Новый год» согласно приложению.</w:t>
      </w:r>
    </w:p>
    <w:p w14:paraId="463BF169" w14:textId="77777777" w:rsidR="00971431" w:rsidRDefault="5AF2C11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Рекомендовать руководителям предприятий и учреждений, расположенных на территории сельского поселения Цингалы, независимо от форм собственности и ведомственной принадлежности:</w:t>
      </w:r>
    </w:p>
    <w:p w14:paraId="7C87B1F8" w14:textId="77777777" w:rsidR="00971431" w:rsidRDefault="5AF2C11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Обеспечить соблюдение пунктов 30, 31, 32 Правил противопожарного режима в Российской Федерации, утвержденных постановлением Правительства Российской Федерации от 25 апреля 2012 года № 390.</w:t>
      </w:r>
    </w:p>
    <w:p w14:paraId="46B72545" w14:textId="77777777" w:rsidR="00971431" w:rsidRDefault="5AF2C11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Запретить использование в помещениях свечей, пиротехнических изделий (хлопушек, фейерверков и т.д.), а также украшений для новогодних елок из легковоспламеняющихся материалов, которые могут привести к пожару.</w:t>
      </w:r>
    </w:p>
    <w:p w14:paraId="059F8465" w14:textId="54BD2AF2" w:rsidR="00971431" w:rsidRDefault="006D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Специалисту 1 категории администрации разместить в местах проведения праздничных мероприятий наглядную агитацию, призывающую к бдительности и недопущению возникновения возгораний.</w:t>
      </w:r>
    </w:p>
    <w:p w14:paraId="112E3759" w14:textId="77777777" w:rsidR="00971431" w:rsidRDefault="006D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14:paraId="1EDB41BD" w14:textId="77777777" w:rsidR="00971431" w:rsidRDefault="00971431">
      <w:pPr>
        <w:pStyle w:val="af0"/>
        <w:rPr>
          <w:sz w:val="28"/>
          <w:szCs w:val="28"/>
        </w:rPr>
      </w:pPr>
    </w:p>
    <w:p w14:paraId="2A5EA5CC" w14:textId="77777777" w:rsidR="00971431" w:rsidRDefault="00971431">
      <w:pPr>
        <w:pStyle w:val="af0"/>
        <w:ind w:firstLine="708"/>
        <w:rPr>
          <w:sz w:val="28"/>
          <w:szCs w:val="28"/>
        </w:rPr>
      </w:pPr>
    </w:p>
    <w:p w14:paraId="2D4D4CB4" w14:textId="77777777" w:rsidR="00971431" w:rsidRDefault="006D0E64">
      <w:pPr>
        <w:pStyle w:val="af0"/>
        <w:ind w:firstLine="708"/>
        <w:rPr>
          <w:sz w:val="28"/>
          <w:szCs w:val="28"/>
        </w:rPr>
        <w:sectPr w:rsidR="0097143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Козлов</w:t>
      </w:r>
    </w:p>
    <w:p w14:paraId="438EAB85" w14:textId="77777777" w:rsidR="00971431" w:rsidRPr="006D0E64" w:rsidRDefault="5AF2C117">
      <w:pPr>
        <w:jc w:val="right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lastRenderedPageBreak/>
        <w:t>Приложение</w:t>
      </w:r>
    </w:p>
    <w:p w14:paraId="055FFC0E" w14:textId="77777777" w:rsidR="00971431" w:rsidRPr="006D0E64" w:rsidRDefault="5AF2C117">
      <w:pPr>
        <w:jc w:val="right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t>к распоряжению администрации</w:t>
      </w:r>
    </w:p>
    <w:p w14:paraId="0D857CEC" w14:textId="77777777" w:rsidR="00971431" w:rsidRPr="006D0E64" w:rsidRDefault="5AF2C117">
      <w:pPr>
        <w:jc w:val="right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t>сельского поселения Цингалы</w:t>
      </w:r>
    </w:p>
    <w:p w14:paraId="3C864981" w14:textId="77777777" w:rsidR="00971431" w:rsidRPr="006D0E64" w:rsidRDefault="5AF2C117">
      <w:pPr>
        <w:jc w:val="right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t>от 02.12.2016 № 223-р</w:t>
      </w:r>
    </w:p>
    <w:p w14:paraId="3B372DCC" w14:textId="77777777" w:rsidR="00971431" w:rsidRPr="006D0E64" w:rsidRDefault="00971431">
      <w:pPr>
        <w:jc w:val="center"/>
        <w:rPr>
          <w:rFonts w:eastAsia="Calibri"/>
          <w:sz w:val="28"/>
          <w:szCs w:val="28"/>
        </w:rPr>
      </w:pPr>
    </w:p>
    <w:p w14:paraId="1ECF5F17" w14:textId="77777777" w:rsidR="00971431" w:rsidRPr="006D0E64" w:rsidRDefault="5AF2C117">
      <w:pPr>
        <w:jc w:val="center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t>План  проведения на территории сельского поселения Цингалы профилактической операции «Новый год»</w:t>
      </w:r>
    </w:p>
    <w:p w14:paraId="77AB537B" w14:textId="77777777" w:rsidR="00971431" w:rsidRPr="006D0E64" w:rsidRDefault="00971431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8"/>
        <w:gridCol w:w="6960"/>
        <w:gridCol w:w="2040"/>
        <w:gridCol w:w="4330"/>
      </w:tblGrid>
      <w:tr w:rsidR="00971431" w:rsidRPr="006D0E64" w14:paraId="2C98AF8B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7EA7B834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sz w:val="28"/>
                <w:szCs w:val="28"/>
              </w:rPr>
              <w:t xml:space="preserve">№ </w:t>
            </w:r>
            <w:proofErr w:type="gramStart"/>
            <w:r w:rsidRPr="006D0E6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D0E6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3BB12DFF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Наименование мероприятий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32733190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3B122D25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Ответственный</w:t>
            </w:r>
          </w:p>
          <w:p w14:paraId="75A9E74C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исполнитель</w:t>
            </w:r>
          </w:p>
          <w:p w14:paraId="645DB5A3" w14:textId="77777777" w:rsidR="00971431" w:rsidRPr="006D0E64" w:rsidRDefault="0097143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1431" w:rsidRPr="006D0E64" w14:paraId="1D53FAB0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3DD2EDE7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78329E7F" w14:textId="579A5C6C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Форм</w:t>
            </w:r>
            <w:r w:rsidR="006D0E64" w:rsidRPr="006D0E64">
              <w:rPr>
                <w:rFonts w:eastAsia="Calibri"/>
              </w:rPr>
              <w:t>ирование перечня объектов</w:t>
            </w:r>
            <w:r w:rsidR="00DA5FCF">
              <w:rPr>
                <w:rFonts w:eastAsia="Calibri"/>
              </w:rPr>
              <w:t xml:space="preserve"> защиты</w:t>
            </w:r>
            <w:r w:rsidRPr="006D0E64">
              <w:rPr>
                <w:rFonts w:eastAsia="Calibri"/>
              </w:rPr>
              <w:t>, задействованных                 в проведении новогодних и рождественских праздников,                        а также мест хранения и реализации пиротехнической продукции. Утверждение этих перечней на заседаниях комиссий по предупреждению и ликвидации чрезвычайных ситуаций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2D973E5F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25.11.2016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0D78192C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</w:p>
        </w:tc>
      </w:tr>
      <w:tr w:rsidR="00971431" w:rsidRPr="006D0E64" w14:paraId="7790A4F0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213C2F07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5C4A6800" w14:textId="77777777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Проведение профилактических обследований объектов защиты, задействованных в проведении новогодних и рождественских праздников, с привлечением представителей общественных организаций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005C2940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20.12.2016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6C56FF2D" w14:textId="77777777" w:rsidR="00971431" w:rsidRPr="006D0E64" w:rsidRDefault="5AF2C117">
            <w:pPr>
              <w:ind w:firstLine="33"/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</w:p>
        </w:tc>
      </w:tr>
      <w:tr w:rsidR="00971431" w:rsidRPr="006D0E64" w14:paraId="3A4920F1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77EA155D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1C2A6FD5" w14:textId="77777777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Проведение совместных рейдов с сотрудниками органов внутренних дел и торговой инспекцией по местам хранения                   и реализации пиротехнической продукции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099B33A5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25.12.2016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1C3720FC" w14:textId="77777777" w:rsidR="00971431" w:rsidRPr="006D0E64" w:rsidRDefault="5AF2C117">
            <w:pPr>
              <w:jc w:val="center"/>
              <w:rPr>
                <w:bCs/>
              </w:rPr>
            </w:pPr>
            <w:r w:rsidRPr="006D0E64">
              <w:t>Глава сельского поселения</w:t>
            </w:r>
          </w:p>
        </w:tc>
      </w:tr>
      <w:tr w:rsidR="00971431" w:rsidRPr="006D0E64" w14:paraId="67926EF5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7EDD04F5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33637814" w14:textId="77777777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Проведение противопожарных инструктажей с лицами, ответственными за организацию массовых мероприятий, а также осуществляющими реализацию и хранение пиротехнической  продукции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499ACD5C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25.12.2016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209FEE88" w14:textId="77777777" w:rsidR="00971431" w:rsidRPr="006D0E64" w:rsidRDefault="5AF2C117">
            <w:pPr>
              <w:jc w:val="center"/>
              <w:rPr>
                <w:bCs/>
              </w:rPr>
            </w:pPr>
            <w:r w:rsidRPr="006D0E64">
              <w:t>Глава сельского поселения</w:t>
            </w:r>
          </w:p>
          <w:p w14:paraId="23BCC2D5" w14:textId="77777777" w:rsidR="00971431" w:rsidRPr="006D0E64" w:rsidRDefault="00971431">
            <w:pPr>
              <w:jc w:val="center"/>
              <w:rPr>
                <w:rFonts w:eastAsia="Calibri"/>
                <w:bCs/>
              </w:rPr>
            </w:pPr>
          </w:p>
        </w:tc>
      </w:tr>
      <w:tr w:rsidR="00971431" w14:paraId="7C8C3C75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6983B79E" w14:textId="77777777" w:rsidR="00971431" w:rsidRDefault="5AF2C117">
            <w:pPr>
              <w:jc w:val="center"/>
              <w:rPr>
                <w:rFonts w:eastAsia="Calibri" w:cs="Calibri"/>
              </w:rPr>
            </w:pPr>
            <w:r w:rsidRPr="5AF2C117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2621E73D" w14:textId="77777777" w:rsidR="00971431" w:rsidRDefault="5AF2C117">
            <w:pPr>
              <w:jc w:val="both"/>
            </w:pPr>
            <w:r>
              <w:t>Разработка дополнительных мер, направленных на обеспечение комплексной безопасности объектов защиты в период проведения праздничных мероприятий, в том числе рассмотрение вопросов о необходимости принятия нормативных правовых актов муниципальных образований о введении особого противопожарного режима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5E1362ED" w14:textId="77777777" w:rsidR="00971431" w:rsidRPr="006D0E64" w:rsidRDefault="5AF2C117">
            <w:pPr>
              <w:jc w:val="center"/>
            </w:pPr>
            <w:r w:rsidRPr="006D0E64">
              <w:t>25.11.2016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  <w:vAlign w:val="center"/>
          </w:tcPr>
          <w:p w14:paraId="64A16DE7" w14:textId="77777777" w:rsidR="00971431" w:rsidRPr="006D0E64" w:rsidRDefault="5AF2C117">
            <w:pPr>
              <w:jc w:val="center"/>
            </w:pPr>
            <w:r w:rsidRPr="006D0E64">
              <w:t>Глава сельского поселения</w:t>
            </w:r>
          </w:p>
        </w:tc>
      </w:tr>
      <w:tr w:rsidR="00971431" w14:paraId="4C419FF8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0F0A8A22" w14:textId="77777777" w:rsidR="00971431" w:rsidRDefault="5AF2C117">
            <w:pPr>
              <w:jc w:val="center"/>
              <w:rPr>
                <w:rFonts w:eastAsia="Calibri" w:cs="Calibri"/>
              </w:rPr>
            </w:pPr>
            <w:r w:rsidRPr="5AF2C117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246FCED0" w14:textId="77777777" w:rsidR="00971431" w:rsidRDefault="5AF2C117">
            <w:pPr>
              <w:jc w:val="both"/>
            </w:pPr>
            <w:r>
              <w:t xml:space="preserve">Информационное освещение дополнительных противопожарных мероприятий в средствах массовой информации, а также                      с помощью общероссийской комплексной системы </w:t>
            </w:r>
            <w:r>
              <w:lastRenderedPageBreak/>
              <w:t>информирования и оповещения населения о мерах безопасности при устройстве новогодних елок, электрических гирлянд, применении пиротехнических изделий, необходимых действиях при обнаружении пожара или иной чрезвычайной ситуации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4CCA3EFD" w14:textId="77777777" w:rsidR="00971431" w:rsidRPr="006D0E64" w:rsidRDefault="5AF2C117">
            <w:pPr>
              <w:jc w:val="center"/>
            </w:pPr>
            <w:r w:rsidRPr="006D0E64">
              <w:lastRenderedPageBreak/>
              <w:t>25.11.2016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  <w:vAlign w:val="center"/>
          </w:tcPr>
          <w:p w14:paraId="42771F10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</w:p>
        </w:tc>
      </w:tr>
      <w:tr w:rsidR="00971431" w14:paraId="44A9D0B3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1208D3C5" w14:textId="77777777" w:rsidR="00971431" w:rsidRDefault="5AF2C117">
            <w:pPr>
              <w:jc w:val="center"/>
              <w:rPr>
                <w:rFonts w:eastAsia="Calibri" w:cs="Calibri"/>
              </w:rPr>
            </w:pPr>
            <w:r w:rsidRPr="5AF2C117"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61DE3BC5" w14:textId="77777777" w:rsidR="00971431" w:rsidRDefault="5AF2C117">
            <w:pPr>
              <w:jc w:val="both"/>
            </w:pPr>
            <w:r>
              <w:t>Организация дежурства ответственных должностных лиц                    в местах проведения новогодних и рождественских праздников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5F33B748" w14:textId="77777777" w:rsidR="00971431" w:rsidRDefault="5AF2C117">
            <w:pPr>
              <w:jc w:val="center"/>
            </w:pPr>
            <w:r>
              <w:t>25.11.2016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  <w:vAlign w:val="center"/>
          </w:tcPr>
          <w:p w14:paraId="08E4375E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</w:p>
        </w:tc>
      </w:tr>
    </w:tbl>
    <w:p w14:paraId="0D6CE5E5" w14:textId="77777777" w:rsidR="00971431" w:rsidRDefault="00971431">
      <w:pPr>
        <w:jc w:val="both"/>
        <w:rPr>
          <w:rFonts w:eastAsia="Calibri" w:cs="Calibri"/>
        </w:rPr>
      </w:pPr>
    </w:p>
    <w:p w14:paraId="6396F8F9" w14:textId="77777777" w:rsidR="00971431" w:rsidRDefault="00971431">
      <w:pPr>
        <w:jc w:val="both"/>
        <w:rPr>
          <w:rFonts w:eastAsia="Calibri" w:cs="Calibri"/>
        </w:rPr>
      </w:pPr>
    </w:p>
    <w:p w14:paraId="11632891" w14:textId="77777777" w:rsidR="00971431" w:rsidRDefault="00971431">
      <w:pPr>
        <w:jc w:val="both"/>
        <w:rPr>
          <w:rFonts w:eastAsia="Calibri" w:cs="Calibri"/>
        </w:rPr>
      </w:pPr>
    </w:p>
    <w:p w14:paraId="32CE00DB" w14:textId="77777777" w:rsidR="00971431" w:rsidRDefault="00971431">
      <w:pPr>
        <w:pStyle w:val="af0"/>
        <w:rPr>
          <w:sz w:val="28"/>
          <w:szCs w:val="28"/>
        </w:rPr>
      </w:pPr>
    </w:p>
    <w:sectPr w:rsidR="00971431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88"/>
    <w:multiLevelType w:val="multilevel"/>
    <w:tmpl w:val="4736752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D51CFF"/>
    <w:multiLevelType w:val="multilevel"/>
    <w:tmpl w:val="377296B2"/>
    <w:lvl w:ilvl="0">
      <w:start w:val="1"/>
      <w:numFmt w:val="decimal"/>
      <w:lvlText w:val="%1."/>
      <w:lvlJc w:val="left"/>
      <w:pPr>
        <w:ind w:left="1215" w:hanging="510"/>
      </w:pPr>
    </w:lvl>
    <w:lvl w:ilvl="1">
      <w:start w:val="1"/>
      <w:numFmt w:val="decimal"/>
      <w:lvlText w:val="%1.%2."/>
      <w:lvlJc w:val="left"/>
      <w:pPr>
        <w:ind w:left="1935" w:hanging="720"/>
      </w:pPr>
    </w:lvl>
    <w:lvl w:ilvl="2">
      <w:start w:val="1"/>
      <w:numFmt w:val="decimal"/>
      <w:lvlText w:val="%1.%2.%3."/>
      <w:lvlJc w:val="left"/>
      <w:pPr>
        <w:ind w:left="2445" w:hanging="720"/>
      </w:pPr>
    </w:lvl>
    <w:lvl w:ilvl="3">
      <w:start w:val="1"/>
      <w:numFmt w:val="decimal"/>
      <w:lvlText w:val="%1.%2.%3.%4."/>
      <w:lvlJc w:val="left"/>
      <w:pPr>
        <w:ind w:left="3315" w:hanging="1080"/>
      </w:pPr>
    </w:lvl>
    <w:lvl w:ilvl="4">
      <w:start w:val="1"/>
      <w:numFmt w:val="decimal"/>
      <w:lvlText w:val="%1.%2.%3.%4.%5."/>
      <w:lvlJc w:val="left"/>
      <w:pPr>
        <w:ind w:left="3825" w:hanging="1080"/>
      </w:pPr>
    </w:lvl>
    <w:lvl w:ilvl="5">
      <w:start w:val="1"/>
      <w:numFmt w:val="decimal"/>
      <w:lvlText w:val="%1.%2.%3.%4.%5.%6."/>
      <w:lvlJc w:val="left"/>
      <w:pPr>
        <w:ind w:left="4695" w:hanging="1440"/>
      </w:pPr>
    </w:lvl>
    <w:lvl w:ilvl="6">
      <w:start w:val="1"/>
      <w:numFmt w:val="decimal"/>
      <w:lvlText w:val="%1.%2.%3.%4.%5.%6.%7."/>
      <w:lvlJc w:val="left"/>
      <w:pPr>
        <w:ind w:left="5565" w:hanging="1800"/>
      </w:pPr>
    </w:lvl>
    <w:lvl w:ilvl="7">
      <w:start w:val="1"/>
      <w:numFmt w:val="decimal"/>
      <w:lvlText w:val="%1.%2.%3.%4.%5.%6.%7.%8."/>
      <w:lvlJc w:val="left"/>
      <w:pPr>
        <w:ind w:left="6075" w:hanging="1800"/>
      </w:pPr>
    </w:lvl>
    <w:lvl w:ilvl="8">
      <w:start w:val="1"/>
      <w:numFmt w:val="decimal"/>
      <w:lvlText w:val="%1.%2.%3.%4.%5.%6.%7.%8.%9."/>
      <w:lvlJc w:val="left"/>
      <w:pPr>
        <w:ind w:left="6945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AF2C117"/>
    <w:rsid w:val="006D0E64"/>
    <w:rsid w:val="00971431"/>
    <w:rsid w:val="00DA5FCF"/>
    <w:rsid w:val="5AF2C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hd w:val="clear" w:color="auto" w:fill="F2DBDB"/>
      <w:spacing w:before="480" w:after="100" w:line="268" w:lineRule="auto"/>
      <w:contextualSpacing/>
      <w:outlineLvl w:val="0"/>
    </w:pPr>
    <w:rPr>
      <w:rFonts w:ascii="Cambria" w:hAnsi="Cambria" w:cs="Cambria"/>
      <w:b/>
      <w:bCs/>
      <w:i/>
      <w:iCs/>
      <w:color w:val="622423"/>
      <w:sz w:val="20"/>
      <w:szCs w:val="20"/>
      <w:lang w:val="en-US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00" w:after="100" w:line="268" w:lineRule="auto"/>
      <w:ind w:left="144" w:firstLine="0"/>
      <w:contextualSpacing/>
      <w:outlineLvl w:val="1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00" w:after="100"/>
      <w:ind w:left="144" w:firstLine="0"/>
      <w:contextualSpacing/>
      <w:outlineLvl w:val="2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4">
    <w:name w:val="heading 4"/>
    <w:basedOn w:val="a"/>
    <w:next w:val="a"/>
    <w:pPr>
      <w:numPr>
        <w:ilvl w:val="3"/>
        <w:numId w:val="1"/>
      </w:numPr>
      <w:spacing w:before="200" w:after="100"/>
      <w:ind w:left="86" w:firstLine="0"/>
      <w:contextualSpacing/>
      <w:outlineLvl w:val="3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00" w:after="100"/>
      <w:ind w:left="86" w:firstLine="0"/>
      <w:contextualSpacing/>
      <w:outlineLvl w:val="4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00" w:after="100"/>
      <w:contextualSpacing/>
      <w:outlineLvl w:val="5"/>
    </w:pPr>
    <w:rPr>
      <w:rFonts w:ascii="Cambria" w:hAnsi="Cambria" w:cs="Cambria"/>
      <w:i/>
      <w:iCs/>
      <w:color w:val="943634"/>
      <w:sz w:val="20"/>
      <w:szCs w:val="20"/>
      <w:lang w:val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00" w:after="100"/>
      <w:contextualSpacing/>
      <w:outlineLvl w:val="6"/>
    </w:pPr>
    <w:rPr>
      <w:rFonts w:ascii="Cambria" w:hAnsi="Cambria" w:cs="Cambria"/>
      <w:i/>
      <w:iCs/>
      <w:color w:val="943634"/>
      <w:sz w:val="20"/>
      <w:szCs w:val="20"/>
      <w:lang w:val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00" w:after="100"/>
      <w:contextualSpacing/>
      <w:outlineLvl w:val="7"/>
    </w:pPr>
    <w:rPr>
      <w:rFonts w:ascii="Cambria" w:hAnsi="Cambria" w:cs="Cambria"/>
      <w:i/>
      <w:iCs/>
      <w:color w:val="C0504D"/>
      <w:sz w:val="20"/>
      <w:szCs w:val="20"/>
      <w:lang w:val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00" w:after="100"/>
      <w:contextualSpacing/>
      <w:outlineLvl w:val="8"/>
    </w:pPr>
    <w:rPr>
      <w:rFonts w:ascii="Cambria" w:hAnsi="Cambria" w:cs="Cambria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3">
    <w:name w:val="Название Знак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4">
    <w:name w:val="Подзаголовок Знак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5">
    <w:name w:val="Emphasis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1">
    <w:name w:val="Цитата 2 Знак"/>
    <w:rPr>
      <w:color w:val="943634"/>
      <w:sz w:val="20"/>
      <w:szCs w:val="20"/>
    </w:rPr>
  </w:style>
  <w:style w:type="character" w:customStyle="1" w:styleId="a6">
    <w:name w:val="Выделенная цитата Знак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7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a8">
    <w:name w:val="Intense Emphasis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4"/>
      <w:shd w:val="clear" w:color="auto" w:fill="C0504D"/>
      <w:vertAlign w:val="baseline"/>
    </w:rPr>
  </w:style>
  <w:style w:type="character" w:styleId="a9">
    <w:name w:val="Subtle Reference"/>
    <w:rPr>
      <w:i/>
      <w:iCs/>
      <w:smallCaps/>
      <w:color w:val="C0504D"/>
    </w:rPr>
  </w:style>
  <w:style w:type="character" w:styleId="aa">
    <w:name w:val="Intense Reference"/>
    <w:rPr>
      <w:b/>
      <w:bCs/>
      <w:i/>
      <w:iCs/>
      <w:smallCaps/>
      <w:color w:val="C0504D"/>
    </w:rPr>
  </w:style>
  <w:style w:type="character" w:styleId="ab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"/>
    <w:pPr>
      <w:shd w:val="clear" w:color="auto" w:fill="C0504D"/>
      <w:jc w:val="center"/>
    </w:pPr>
    <w:rPr>
      <w:rFonts w:ascii="Cambria" w:hAnsi="Cambria" w:cs="Cambria"/>
      <w:i/>
      <w:iCs/>
      <w:color w:val="FFFFFF"/>
      <w:spacing w:val="10"/>
      <w:sz w:val="48"/>
      <w:szCs w:val="48"/>
      <w:lang w:val="en-U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d">
    <w:name w:val="List"/>
    <w:basedOn w:val="TextBody"/>
  </w:style>
  <w:style w:type="paragraph" w:styleId="ae">
    <w:name w:val="caption"/>
    <w:basedOn w:val="a"/>
    <w:next w:val="a"/>
    <w:rPr>
      <w:b/>
      <w:bCs/>
      <w:color w:val="943634"/>
      <w:sz w:val="18"/>
      <w:szCs w:val="18"/>
    </w:rPr>
  </w:style>
  <w:style w:type="paragraph" w:customStyle="1" w:styleId="Index">
    <w:name w:val="Index"/>
    <w:basedOn w:val="a"/>
    <w:pPr>
      <w:suppressLineNumbers/>
    </w:pPr>
  </w:style>
  <w:style w:type="paragraph" w:styleId="af">
    <w:name w:val="Subtitle"/>
    <w:basedOn w:val="a"/>
    <w:next w:val="a"/>
    <w:pPr>
      <w:spacing w:before="200" w:after="900"/>
      <w:jc w:val="center"/>
    </w:pPr>
    <w:rPr>
      <w:rFonts w:ascii="Cambria" w:hAnsi="Cambria" w:cs="Cambria"/>
      <w:i/>
      <w:iCs/>
      <w:color w:val="622423"/>
      <w:lang w:val="en-US"/>
    </w:rPr>
  </w:style>
  <w:style w:type="paragraph" w:styleId="af0">
    <w:name w:val="No Spacing"/>
    <w:basedOn w:val="a"/>
  </w:style>
  <w:style w:type="paragraph" w:styleId="af1">
    <w:name w:val="List Paragraph"/>
    <w:basedOn w:val="a"/>
    <w:pPr>
      <w:ind w:left="720"/>
      <w:contextualSpacing/>
    </w:pPr>
  </w:style>
  <w:style w:type="paragraph" w:styleId="22">
    <w:name w:val="Quote"/>
    <w:basedOn w:val="a"/>
    <w:next w:val="a"/>
    <w:rPr>
      <w:rFonts w:eastAsia="Calibri"/>
      <w:color w:val="943634"/>
      <w:sz w:val="20"/>
      <w:szCs w:val="20"/>
      <w:lang w:val="en-US"/>
    </w:rPr>
  </w:style>
  <w:style w:type="paragraph" w:styleId="af2">
    <w:name w:val="Intense Quote"/>
    <w:basedOn w:val="a"/>
    <w:next w:val="a"/>
    <w:pP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en-US"/>
    </w:rPr>
  </w:style>
  <w:style w:type="paragraph" w:styleId="af3">
    <w:name w:val="TOC Heading"/>
    <w:basedOn w:val="1"/>
    <w:next w:val="a"/>
    <w:pPr>
      <w:ind w:left="0" w:firstLine="0"/>
      <w:outlineLvl w:val="9"/>
    </w:pPr>
  </w:style>
  <w:style w:type="paragraph" w:styleId="af4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16</cp:revision>
  <cp:lastPrinted>2016-12-08T09:23:00Z</cp:lastPrinted>
  <dcterms:created xsi:type="dcterms:W3CDTF">2015-01-04T15:22:00Z</dcterms:created>
  <dcterms:modified xsi:type="dcterms:W3CDTF">2016-12-16T10:04:00Z</dcterms:modified>
  <dc:language>en-US</dc:language>
</cp:coreProperties>
</file>